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5DB64E4D"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D35EA2" w:rsidRPr="00F01D01">
        <w:rPr>
          <w:rFonts w:ascii="Arial" w:hAnsi="Arial" w:cs="Arial"/>
          <w:b/>
          <w:sz w:val="24"/>
          <w:szCs w:val="24"/>
        </w:rPr>
        <w:t xml:space="preserve">NR </w:t>
      </w:r>
      <w:r w:rsidR="00405FE5">
        <w:rPr>
          <w:rFonts w:ascii="Arial" w:hAnsi="Arial" w:cs="Arial"/>
          <w:b/>
          <w:sz w:val="24"/>
          <w:szCs w:val="24"/>
        </w:rPr>
        <w:t>#90</w:t>
      </w:r>
      <w:r w:rsidR="00CE5F5F">
        <w:rPr>
          <w:rFonts w:ascii="Arial" w:hAnsi="Arial" w:cs="Arial"/>
          <w:b/>
          <w:sz w:val="24"/>
          <w:szCs w:val="24"/>
        </w:rPr>
        <w:tab/>
      </w:r>
      <w:r w:rsidR="0008793D" w:rsidRPr="0008793D">
        <w:rPr>
          <w:rFonts w:ascii="Arial" w:hAnsi="Arial" w:cs="Arial"/>
          <w:b/>
          <w:sz w:val="24"/>
          <w:szCs w:val="24"/>
        </w:rPr>
        <w:t>R1-1713482</w:t>
      </w:r>
    </w:p>
    <w:p w14:paraId="3E59845C" w14:textId="77777777" w:rsidR="00405FE5" w:rsidRPr="00405FE5"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21st – 25th August 2017</w:t>
      </w:r>
    </w:p>
    <w:p w14:paraId="5EC9F255" w14:textId="7F1E85CA" w:rsidR="00405FE5" w:rsidDel="00D35EA2"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Prague, Czech Republic</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751ABB6C"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08793D" w:rsidRPr="0008793D">
        <w:rPr>
          <w:rFonts w:ascii="Arial" w:hAnsi="Arial"/>
          <w:sz w:val="24"/>
        </w:rPr>
        <w:t>6.1.3.3.6.3</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00537622"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08793D" w:rsidRPr="0008793D">
        <w:rPr>
          <w:rFonts w:ascii="Arial" w:hAnsi="Arial"/>
          <w:sz w:val="24"/>
        </w:rPr>
        <w:t>Soft buffer partitioning in NSA</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2BC107D6" w:rsidR="001F2982" w:rsidRPr="00E05BD3" w:rsidRDefault="001229D6" w:rsidP="0088176C">
      <w:pPr>
        <w:pStyle w:val="Heading1"/>
        <w:rPr>
          <w:sz w:val="40"/>
          <w:lang w:val="en-US"/>
        </w:rPr>
      </w:pPr>
      <w:r>
        <w:rPr>
          <w:sz w:val="40"/>
          <w:lang w:val="en-US"/>
        </w:rPr>
        <w:t>Introduction</w:t>
      </w:r>
    </w:p>
    <w:p w14:paraId="3A787D17" w14:textId="2FE9A7DB" w:rsidR="0008793D" w:rsidRDefault="0008793D" w:rsidP="0098481D">
      <w:pPr>
        <w:rPr>
          <w:lang w:val="en-GB"/>
        </w:rPr>
      </w:pPr>
      <w:r>
        <w:rPr>
          <w:lang w:val="en-GB"/>
        </w:rPr>
        <w:t>From RAN1 #88bis</w:t>
      </w:r>
      <w:r w:rsidR="00A84413">
        <w:rPr>
          <w:lang w:val="en-GB"/>
        </w:rPr>
        <w:t xml:space="preserve"> </w:t>
      </w:r>
      <w:r w:rsidR="00A84413">
        <w:rPr>
          <w:lang w:val="en-GB"/>
        </w:rPr>
        <w:fldChar w:fldCharType="begin"/>
      </w:r>
      <w:r w:rsidR="00A84413">
        <w:rPr>
          <w:lang w:val="en-GB"/>
        </w:rPr>
        <w:instrText xml:space="preserve"> REF _Ref485386823 \r \h </w:instrText>
      </w:r>
      <w:r w:rsidR="00A84413">
        <w:rPr>
          <w:lang w:val="en-GB"/>
        </w:rPr>
      </w:r>
      <w:r w:rsidR="00A84413">
        <w:rPr>
          <w:lang w:val="en-GB"/>
        </w:rPr>
        <w:fldChar w:fldCharType="separate"/>
      </w:r>
      <w:r w:rsidR="00A84413">
        <w:rPr>
          <w:lang w:val="en-GB"/>
        </w:rPr>
        <w:t>[1]</w:t>
      </w:r>
      <w:r w:rsidR="00A84413">
        <w:rPr>
          <w:lang w:val="en-GB"/>
        </w:rPr>
        <w:fldChar w:fldCharType="end"/>
      </w:r>
      <w:r>
        <w:rPr>
          <w:lang w:val="en-GB"/>
        </w:rPr>
        <w:t>, the following agreement was made regarding LTE-NR coexistence.</w:t>
      </w:r>
    </w:p>
    <w:p w14:paraId="233611AD" w14:textId="77777777" w:rsidR="0008793D" w:rsidRPr="005651F0" w:rsidRDefault="0008793D" w:rsidP="0008793D">
      <w:pPr>
        <w:rPr>
          <w:iCs/>
        </w:rPr>
      </w:pPr>
      <w:r w:rsidRPr="005651F0">
        <w:rPr>
          <w:iCs/>
          <w:highlight w:val="green"/>
        </w:rPr>
        <w:t>Agreements</w:t>
      </w:r>
      <w:r w:rsidRPr="005651F0">
        <w:rPr>
          <w:iCs/>
        </w:rPr>
        <w:t>:</w:t>
      </w:r>
    </w:p>
    <w:p w14:paraId="083AABAB" w14:textId="0ADE5752" w:rsidR="0008793D" w:rsidRPr="0008793D" w:rsidRDefault="0008793D" w:rsidP="0008793D">
      <w:pPr>
        <w:numPr>
          <w:ilvl w:val="0"/>
          <w:numId w:val="5"/>
        </w:numPr>
        <w:overflowPunct/>
        <w:autoSpaceDE/>
        <w:autoSpaceDN/>
        <w:adjustRightInd/>
        <w:spacing w:after="0"/>
        <w:textAlignment w:val="auto"/>
        <w:rPr>
          <w:iCs/>
        </w:rPr>
      </w:pPr>
      <w:r w:rsidRPr="0008793D">
        <w:rPr>
          <w:iCs/>
        </w:rPr>
        <w:t>For LTE-NR/NR-NR DC, scheduling and HARQ mechanisms/procedures between cell-groups are independent.</w:t>
      </w:r>
    </w:p>
    <w:p w14:paraId="28370515" w14:textId="77777777" w:rsidR="0008793D" w:rsidRDefault="0008793D" w:rsidP="0098481D">
      <w:pPr>
        <w:rPr>
          <w:lang w:val="en-GB"/>
        </w:rPr>
      </w:pPr>
    </w:p>
    <w:p w14:paraId="0C4615F6" w14:textId="2357E09D" w:rsidR="000E0341" w:rsidRPr="0098481D" w:rsidRDefault="0008793D" w:rsidP="0098481D">
      <w:pPr>
        <w:rPr>
          <w:lang w:val="en-GB"/>
        </w:rPr>
      </w:pPr>
      <w:r>
        <w:rPr>
          <w:lang w:val="en-GB"/>
        </w:rPr>
        <w:t>In this contribution, we discuss some implications on soft buffer management as a result of this agreement.</w:t>
      </w:r>
    </w:p>
    <w:p w14:paraId="600E869A" w14:textId="5C2667B0" w:rsidR="003F795D" w:rsidRDefault="00F52954" w:rsidP="003F795D">
      <w:pPr>
        <w:pStyle w:val="Heading1"/>
        <w:rPr>
          <w:sz w:val="40"/>
        </w:rPr>
      </w:pPr>
      <w:bookmarkStart w:id="0" w:name="_Ref378529477"/>
      <w:r>
        <w:rPr>
          <w:sz w:val="40"/>
        </w:rPr>
        <w:t>Discussion</w:t>
      </w:r>
    </w:p>
    <w:p w14:paraId="70975457" w14:textId="05A2EC3E" w:rsidR="003F795D" w:rsidRDefault="003F795D" w:rsidP="003F795D">
      <w:pPr>
        <w:rPr>
          <w:lang w:val="en-GB"/>
        </w:rPr>
      </w:pPr>
      <w:r>
        <w:rPr>
          <w:lang w:val="en-GB"/>
        </w:rPr>
        <w:t xml:space="preserve">In LTE, the soft buffer dimensioning for each UE category is used by the scheduler to determine how much incremental redundancy can be transmitted. As the transport block sizes (TBSs) and number of active HARQ processes across carriers and layers increases, limited buffer rate matching (LBRM) </w:t>
      </w:r>
      <w:r w:rsidR="00B62C8F">
        <w:rPr>
          <w:lang w:val="en-GB"/>
        </w:rPr>
        <w:t>is enabled</w:t>
      </w:r>
      <w:r>
        <w:rPr>
          <w:lang w:val="en-GB"/>
        </w:rPr>
        <w:t xml:space="preserve"> so that more repetition is used across retransmissions </w:t>
      </w:r>
      <w:r w:rsidR="00B62C8F">
        <w:rPr>
          <w:lang w:val="en-GB"/>
        </w:rPr>
        <w:t>and</w:t>
      </w:r>
      <w:r>
        <w:rPr>
          <w:lang w:val="en-GB"/>
        </w:rPr>
        <w:t xml:space="preserve"> the receiver does not need to store as many LLRs.</w:t>
      </w:r>
      <w:r w:rsidR="00B62C8F">
        <w:rPr>
          <w:lang w:val="en-GB"/>
        </w:rPr>
        <w:t xml:space="preserve"> Note that this is from a logical perspective, and is not meant to address more complicated approaches to buffer management such as compression, offloading, etc. (More discussion on general soft buffer management is provided in </w:t>
      </w:r>
      <w:r w:rsidR="00A84413">
        <w:rPr>
          <w:lang w:val="en-GB"/>
        </w:rPr>
        <w:fldChar w:fldCharType="begin"/>
      </w:r>
      <w:r w:rsidR="00A84413">
        <w:rPr>
          <w:lang w:val="en-GB"/>
        </w:rPr>
        <w:instrText xml:space="preserve"> REF _Ref490241144 \r \h </w:instrText>
      </w:r>
      <w:r w:rsidR="00A84413">
        <w:rPr>
          <w:lang w:val="en-GB"/>
        </w:rPr>
      </w:r>
      <w:r w:rsidR="00A84413">
        <w:rPr>
          <w:lang w:val="en-GB"/>
        </w:rPr>
        <w:fldChar w:fldCharType="separate"/>
      </w:r>
      <w:r w:rsidR="00A84413">
        <w:rPr>
          <w:lang w:val="en-GB"/>
        </w:rPr>
        <w:t>[2]</w:t>
      </w:r>
      <w:r w:rsidR="00A84413">
        <w:rPr>
          <w:lang w:val="en-GB"/>
        </w:rPr>
        <w:fldChar w:fldCharType="end"/>
      </w:r>
      <w:r w:rsidR="00B62C8F">
        <w:rPr>
          <w:lang w:val="en-GB"/>
        </w:rPr>
        <w:t>.)</w:t>
      </w:r>
    </w:p>
    <w:p w14:paraId="051CE565" w14:textId="13C51595" w:rsidR="003F795D" w:rsidRPr="003F795D" w:rsidRDefault="00863364" w:rsidP="003F795D">
      <w:pPr>
        <w:rPr>
          <w:lang w:val="en-GB"/>
        </w:rPr>
      </w:pPr>
      <w:r>
        <w:rPr>
          <w:lang w:val="en-GB"/>
        </w:rPr>
        <w:t xml:space="preserve">In NR, the HARQ timing can be more stringent than in LTE, and as such can result in different memory requirements for the transmit and LLR receive buffers. It is important </w:t>
      </w:r>
      <w:r w:rsidR="00A3399D">
        <w:rPr>
          <w:lang w:val="en-GB"/>
        </w:rPr>
        <w:t>take this into consideration when discussing soft buffer management and consolidation in dual-connectivity sitations.</w:t>
      </w:r>
    </w:p>
    <w:p w14:paraId="659ECC83" w14:textId="45D61672" w:rsidR="0047482E" w:rsidRDefault="00F52954" w:rsidP="00F52954">
      <w:pPr>
        <w:pStyle w:val="Heading2"/>
      </w:pPr>
      <w:r>
        <w:t>Semi-static partitioning</w:t>
      </w:r>
    </w:p>
    <w:p w14:paraId="54AF8148" w14:textId="72042C0C" w:rsidR="00F52954" w:rsidRDefault="00F52954" w:rsidP="00F52954">
      <w:pPr>
        <w:rPr>
          <w:lang w:val="en-GB"/>
        </w:rPr>
      </w:pPr>
      <w:r>
        <w:rPr>
          <w:lang w:val="en-GB"/>
        </w:rPr>
        <w:t>Given the baseline assumption in dual connectivity that timing and schedulers are not coordinated, it is natural to consider a semi-static partitioning between NR and LTE soft buffers to provide robust operation and avoid contention. This could be envisioned through specification in terms of category reporting.</w:t>
      </w:r>
    </w:p>
    <w:p w14:paraId="251AB80B" w14:textId="3B1EC1AA" w:rsidR="00F52954" w:rsidRDefault="00F52954" w:rsidP="00F52954">
      <w:pPr>
        <w:rPr>
          <w:lang w:val="en-GB"/>
        </w:rPr>
      </w:pPr>
      <w:r w:rsidRPr="00F52954">
        <w:rPr>
          <w:b/>
          <w:u w:val="single"/>
          <w:lang w:val="en-GB"/>
        </w:rPr>
        <w:t>Proposal</w:t>
      </w:r>
      <w:r w:rsidR="00327DC3">
        <w:rPr>
          <w:b/>
          <w:u w:val="single"/>
          <w:lang w:val="en-GB"/>
        </w:rPr>
        <w:t xml:space="preserve"> 1</w:t>
      </w:r>
      <w:r w:rsidRPr="00F52954">
        <w:rPr>
          <w:b/>
          <w:u w:val="single"/>
          <w:lang w:val="en-GB"/>
        </w:rPr>
        <w:t>:</w:t>
      </w:r>
      <w:r>
        <w:rPr>
          <w:lang w:val="en-GB"/>
        </w:rPr>
        <w:t xml:space="preserve"> Each UE may report a combination of LTE capability (category) and NR capability (category), while the soft buffer originally associated with NR can be semi-statistically borrowed b</w:t>
      </w:r>
      <w:r w:rsidR="00303056">
        <w:rPr>
          <w:lang w:val="en-GB"/>
        </w:rPr>
        <w:t xml:space="preserve">y LTE, or vice versa </w:t>
      </w:r>
      <w:r>
        <w:rPr>
          <w:lang w:val="en-GB"/>
        </w:rPr>
        <w:t>with certain restrictions.</w:t>
      </w:r>
    </w:p>
    <w:p w14:paraId="061BB376" w14:textId="2B18F5AC" w:rsidR="00F52954" w:rsidRDefault="00267A0A" w:rsidP="00267A0A">
      <w:pPr>
        <w:pStyle w:val="Heading2"/>
      </w:pPr>
      <w:r>
        <w:t>NR borrowing from LTE soft buffer</w:t>
      </w:r>
    </w:p>
    <w:p w14:paraId="7CD5C882" w14:textId="14441175" w:rsidR="00267A0A" w:rsidRPr="00267A0A" w:rsidRDefault="00267A0A" w:rsidP="00267A0A">
      <w:pPr>
        <w:rPr>
          <w:lang w:val="en-GB"/>
        </w:rPr>
      </w:pPr>
      <w:r w:rsidRPr="00267A0A">
        <w:rPr>
          <w:lang w:val="en-GB"/>
        </w:rPr>
        <w:t>Since each UE category is associated with an intended operation condition in terms of # of CCs, # of layers, 256QAM support, etc., consider ensuring nominal allocation of LTE soft buffer before allocating the remaining soft buffer for NR usage</w:t>
      </w:r>
      <w:r w:rsidR="00327DC3">
        <w:rPr>
          <w:lang w:val="en-GB"/>
        </w:rPr>
        <w:t xml:space="preserve">. </w:t>
      </w:r>
      <w:r w:rsidRPr="00267A0A">
        <w:rPr>
          <w:lang w:val="en-GB"/>
        </w:rPr>
        <w:t>The normal allocation may be determined based on the actual # of layers, or the actual # of CCs</w:t>
      </w:r>
      <w:r w:rsidR="00327DC3">
        <w:rPr>
          <w:lang w:val="en-GB"/>
        </w:rPr>
        <w:t>,</w:t>
      </w:r>
      <w:r w:rsidRPr="00267A0A">
        <w:rPr>
          <w:lang w:val="en-GB"/>
        </w:rPr>
        <w:t xml:space="preserve"> compared with the per-layer or per-CC allocation if the UE is configured with the intended # of layers or CCs</w:t>
      </w:r>
      <w:r w:rsidR="00327DC3">
        <w:rPr>
          <w:lang w:val="en-GB"/>
        </w:rPr>
        <w:t>.</w:t>
      </w:r>
    </w:p>
    <w:p w14:paraId="307A133F" w14:textId="77777777" w:rsidR="00267A0A" w:rsidRPr="00267A0A" w:rsidRDefault="00267A0A" w:rsidP="00267A0A">
      <w:pPr>
        <w:rPr>
          <w:lang w:val="en-GB"/>
        </w:rPr>
      </w:pPr>
      <w:r w:rsidRPr="00267A0A">
        <w:rPr>
          <w:lang w:val="en-GB"/>
        </w:rPr>
        <w:t>This can be represented by a formula, where the formula can ensures nominal operation for LTE carriers/layers based on the actual configuration vs. the intended configuration</w:t>
      </w:r>
    </w:p>
    <w:p w14:paraId="564120A4" w14:textId="77777777" w:rsidR="00267A0A" w:rsidRPr="00327DC3" w:rsidRDefault="00267A0A" w:rsidP="00267A0A">
      <w:pPr>
        <w:rPr>
          <w:i/>
          <w:lang w:val="en-GB"/>
        </w:rPr>
      </w:pPr>
      <w:r w:rsidRPr="00327DC3">
        <w:rPr>
          <w:i/>
          <w:lang w:val="en-GB"/>
        </w:rPr>
        <w:lastRenderedPageBreak/>
        <w:t xml:space="preserve">Example: </w:t>
      </w:r>
    </w:p>
    <w:p w14:paraId="7AA7B108" w14:textId="77777777" w:rsidR="00327DC3" w:rsidRDefault="00267A0A" w:rsidP="00267A0A">
      <w:pPr>
        <w:pStyle w:val="ListParagraph"/>
        <w:numPr>
          <w:ilvl w:val="0"/>
          <w:numId w:val="6"/>
        </w:numPr>
        <w:rPr>
          <w:lang w:val="en-GB"/>
        </w:rPr>
      </w:pPr>
      <w:r w:rsidRPr="00327DC3">
        <w:rPr>
          <w:lang w:val="en-GB"/>
        </w:rPr>
        <w:t>A UE of category 8 is designed to target for 5 CCs and up to 8 layers per CC</w:t>
      </w:r>
    </w:p>
    <w:p w14:paraId="25B448A1" w14:textId="77777777" w:rsidR="00327DC3" w:rsidRDefault="00267A0A" w:rsidP="00267A0A">
      <w:pPr>
        <w:pStyle w:val="ListParagraph"/>
        <w:numPr>
          <w:ilvl w:val="0"/>
          <w:numId w:val="6"/>
        </w:numPr>
        <w:rPr>
          <w:lang w:val="en-GB"/>
        </w:rPr>
      </w:pPr>
      <w:r w:rsidRPr="00327DC3">
        <w:rPr>
          <w:lang w:val="en-GB"/>
        </w:rPr>
        <w:t xml:space="preserve">A UE may be configured 4 CCs, while the first 3 CCs each up to 8 layers, and the 4-th CC up to 4 layers </w:t>
      </w:r>
      <w:r w:rsidRPr="00327DC3">
        <w:rPr>
          <w:lang w:val="en-GB"/>
        </w:rPr>
        <w:t xml:space="preserve"> in this case, the UE operate LTE soft buffer management based on </w:t>
      </w:r>
    </w:p>
    <w:p w14:paraId="1C35D95B" w14:textId="77777777" w:rsidR="00327DC3" w:rsidRDefault="00267A0A" w:rsidP="00267A0A">
      <w:pPr>
        <w:pStyle w:val="ListParagraph"/>
        <w:numPr>
          <w:ilvl w:val="1"/>
          <w:numId w:val="6"/>
        </w:numPr>
        <w:rPr>
          <w:lang w:val="en-GB"/>
        </w:rPr>
      </w:pPr>
      <w:r w:rsidRPr="00327DC3">
        <w:rPr>
          <w:lang w:val="en-GB"/>
        </w:rPr>
        <w:t>Alt 1: 80% (4 out of 5 CCs) of the original total soft buffer size, while the remaining 20% can be given to NR carriers</w:t>
      </w:r>
    </w:p>
    <w:p w14:paraId="6645A144" w14:textId="77777777" w:rsidR="00327DC3" w:rsidRDefault="00267A0A" w:rsidP="00267A0A">
      <w:pPr>
        <w:pStyle w:val="ListParagraph"/>
        <w:numPr>
          <w:ilvl w:val="1"/>
          <w:numId w:val="6"/>
        </w:numPr>
        <w:rPr>
          <w:lang w:val="en-GB"/>
        </w:rPr>
      </w:pPr>
      <w:r w:rsidRPr="00327DC3">
        <w:rPr>
          <w:lang w:val="en-GB"/>
        </w:rPr>
        <w:t>Alt 2: (3*8+4)/(5*8) = 70% of the original total soft buffer size, while the remaining 30% can be given to NR carriers</w:t>
      </w:r>
    </w:p>
    <w:p w14:paraId="4CDA6C22" w14:textId="77777777" w:rsidR="00327DC3" w:rsidRDefault="00327DC3" w:rsidP="00327DC3">
      <w:pPr>
        <w:rPr>
          <w:lang w:val="en-GB"/>
        </w:rPr>
      </w:pPr>
    </w:p>
    <w:p w14:paraId="49887C9E" w14:textId="035FDD21" w:rsidR="00267A0A" w:rsidRDefault="00267A0A" w:rsidP="00267A0A">
      <w:pPr>
        <w:rPr>
          <w:lang w:val="en-GB"/>
        </w:rPr>
      </w:pPr>
      <w:r w:rsidRPr="00327DC3">
        <w:rPr>
          <w:lang w:val="en-GB"/>
        </w:rPr>
        <w:t>Note that the memory re-allocated to NR from LTE has to be usable for NR</w:t>
      </w:r>
      <w:r w:rsidR="00327DC3">
        <w:rPr>
          <w:lang w:val="en-GB"/>
        </w:rPr>
        <w:t>. For instance, i</w:t>
      </w:r>
      <w:r w:rsidRPr="00267A0A">
        <w:rPr>
          <w:lang w:val="en-GB"/>
        </w:rPr>
        <w:t>f same-slot HARQ response processing requires a much tighter memory requirement compared with the memory requirement (speed/latency, etc.</w:t>
      </w:r>
      <w:r w:rsidR="00327DC3">
        <w:rPr>
          <w:lang w:val="en-GB"/>
        </w:rPr>
        <w:t xml:space="preserve">), LTE memory may not be usable. The </w:t>
      </w:r>
      <w:r w:rsidRPr="00267A0A">
        <w:rPr>
          <w:lang w:val="en-GB"/>
        </w:rPr>
        <w:t>gNB/eNB can indicate to the UE whether such borrowing is allowed/feasible or not</w:t>
      </w:r>
      <w:r w:rsidR="00327DC3">
        <w:rPr>
          <w:lang w:val="en-GB"/>
        </w:rPr>
        <w:t>.</w:t>
      </w:r>
    </w:p>
    <w:p w14:paraId="0FB2DC7C" w14:textId="156E2171" w:rsidR="00327DC3" w:rsidRDefault="00327DC3" w:rsidP="00267A0A">
      <w:pPr>
        <w:rPr>
          <w:lang w:val="en-GB"/>
        </w:rPr>
      </w:pPr>
      <w:r w:rsidRPr="00327DC3">
        <w:rPr>
          <w:b/>
          <w:u w:val="single"/>
          <w:lang w:val="en-GB"/>
        </w:rPr>
        <w:t>Proposal 2:</w:t>
      </w:r>
      <w:r>
        <w:rPr>
          <w:lang w:val="en-GB"/>
        </w:rPr>
        <w:t xml:space="preserve"> </w:t>
      </w:r>
      <w:r w:rsidRPr="00267A0A">
        <w:rPr>
          <w:lang w:val="en-GB"/>
        </w:rPr>
        <w:t>The normal allocation</w:t>
      </w:r>
      <w:r w:rsidR="009D4AC0">
        <w:rPr>
          <w:lang w:val="en-GB"/>
        </w:rPr>
        <w:t xml:space="preserve"> for LTE soft buffer</w:t>
      </w:r>
      <w:r w:rsidRPr="00267A0A">
        <w:rPr>
          <w:lang w:val="en-GB"/>
        </w:rPr>
        <w:t xml:space="preserve"> may be determined based on the actual # of layers, or the actual # of CCs</w:t>
      </w:r>
      <w:r>
        <w:rPr>
          <w:lang w:val="en-GB"/>
        </w:rPr>
        <w:t>,</w:t>
      </w:r>
      <w:r w:rsidRPr="00267A0A">
        <w:rPr>
          <w:lang w:val="en-GB"/>
        </w:rPr>
        <w:t xml:space="preserve"> compared with the per-layer or per-CC allocation if the UE is configured with the intended # of layers or CCs</w:t>
      </w:r>
      <w:r>
        <w:rPr>
          <w:lang w:val="en-GB"/>
        </w:rPr>
        <w:t>.</w:t>
      </w:r>
      <w:r>
        <w:rPr>
          <w:lang w:val="en-GB"/>
        </w:rPr>
        <w:t xml:space="preserve"> The remaining soft buffer can then be provided to NR, provided there are no implementation restrictions on the memory architecture.</w:t>
      </w:r>
    </w:p>
    <w:p w14:paraId="749F4000" w14:textId="7FAF9BF1" w:rsidR="00907E6D" w:rsidRDefault="009C662A" w:rsidP="009C662A">
      <w:pPr>
        <w:pStyle w:val="Heading2"/>
      </w:pPr>
      <w:r>
        <w:t>LTE borrowing from NR soft buffer</w:t>
      </w:r>
    </w:p>
    <w:p w14:paraId="72F881EE" w14:textId="76ABFD9E" w:rsidR="00000000" w:rsidRPr="009C662A" w:rsidRDefault="00F252E3" w:rsidP="009C662A">
      <w:r w:rsidRPr="009C662A">
        <w:t>In general, LTE soft</w:t>
      </w:r>
      <w:r w:rsidR="009C662A">
        <w:t xml:space="preserve"> buffer is generously designed. </w:t>
      </w:r>
      <w:r w:rsidRPr="009C662A">
        <w:t>However, there are cases when a LTE UE intended for N carriers in CA/DC, but is config</w:t>
      </w:r>
      <w:r w:rsidR="009C662A">
        <w:t>ured with M&gt;N carriers in CA/DC. I</w:t>
      </w:r>
      <w:r w:rsidRPr="009C662A">
        <w:t>n this case, there can be a strong need to borrow soft buffer from NR to LTE</w:t>
      </w:r>
      <w:r w:rsidR="009C662A">
        <w:t>.</w:t>
      </w:r>
    </w:p>
    <w:p w14:paraId="429D80EB" w14:textId="77777777" w:rsidR="00000000" w:rsidRPr="009C662A" w:rsidRDefault="00F252E3" w:rsidP="009C662A">
      <w:pPr>
        <w:rPr>
          <w:i/>
        </w:rPr>
      </w:pPr>
      <w:r w:rsidRPr="009C662A">
        <w:rPr>
          <w:i/>
        </w:rPr>
        <w:t xml:space="preserve">Example: </w:t>
      </w:r>
    </w:p>
    <w:p w14:paraId="2F67A225" w14:textId="77777777" w:rsidR="00000000" w:rsidRPr="009C662A" w:rsidRDefault="00F252E3" w:rsidP="009C662A">
      <w:pPr>
        <w:pStyle w:val="ListParagraph"/>
        <w:numPr>
          <w:ilvl w:val="0"/>
          <w:numId w:val="10"/>
        </w:numPr>
      </w:pPr>
      <w:r w:rsidRPr="009C662A">
        <w:t>A LTE UE of category 5 is designed to target for one CC and up to 4</w:t>
      </w:r>
      <w:r w:rsidRPr="009C662A">
        <w:t xml:space="preserve"> layers </w:t>
      </w:r>
    </w:p>
    <w:p w14:paraId="35C43910" w14:textId="77777777" w:rsidR="00000000" w:rsidRPr="009C662A" w:rsidRDefault="00F252E3" w:rsidP="009C662A">
      <w:pPr>
        <w:pStyle w:val="ListParagraph"/>
        <w:numPr>
          <w:ilvl w:val="0"/>
          <w:numId w:val="10"/>
        </w:numPr>
      </w:pPr>
      <w:r w:rsidRPr="009C662A">
        <w:t>A UE may be configured 5 LTE CCs, but may be configured with K CCs (or layers) in NR where K&lt;L, where L is the intended # of CCs (or layers) for NR</w:t>
      </w:r>
    </w:p>
    <w:p w14:paraId="43CDE990" w14:textId="77777777" w:rsidR="00000000" w:rsidRPr="009C662A" w:rsidRDefault="00F252E3" w:rsidP="009C662A">
      <w:pPr>
        <w:pStyle w:val="ListParagraph"/>
        <w:numPr>
          <w:ilvl w:val="0"/>
          <w:numId w:val="10"/>
        </w:numPr>
      </w:pPr>
      <w:r w:rsidRPr="009C662A">
        <w:t>In this case, consider semi-statically re-allocating some NR soft buffer for LTE use</w:t>
      </w:r>
    </w:p>
    <w:p w14:paraId="4D860F7B" w14:textId="77777777" w:rsidR="00000000" w:rsidRPr="009C662A" w:rsidRDefault="00F252E3" w:rsidP="009C662A">
      <w:pPr>
        <w:pStyle w:val="ListParagraph"/>
        <w:numPr>
          <w:ilvl w:val="0"/>
          <w:numId w:val="10"/>
        </w:numPr>
      </w:pPr>
      <w:r w:rsidRPr="009C662A">
        <w:t>Such borrowing is enabled/disabled</w:t>
      </w:r>
    </w:p>
    <w:p w14:paraId="7EF7B3FA" w14:textId="77777777" w:rsidR="009C662A" w:rsidRDefault="009C662A" w:rsidP="009C662A">
      <w:pPr>
        <w:rPr>
          <w:b/>
          <w:u w:val="single"/>
          <w:lang w:val="en-GB"/>
        </w:rPr>
      </w:pPr>
    </w:p>
    <w:p w14:paraId="2EDA6A0D" w14:textId="287016AF" w:rsidR="009C662A" w:rsidRDefault="009C662A" w:rsidP="009C662A">
      <w:pPr>
        <w:rPr>
          <w:lang w:val="en-GB"/>
        </w:rPr>
      </w:pPr>
      <w:r w:rsidRPr="00327DC3">
        <w:rPr>
          <w:b/>
          <w:u w:val="single"/>
          <w:lang w:val="en-GB"/>
        </w:rPr>
        <w:t xml:space="preserve">Proposal </w:t>
      </w:r>
      <w:r>
        <w:rPr>
          <w:b/>
          <w:u w:val="single"/>
          <w:lang w:val="en-GB"/>
        </w:rPr>
        <w:t>3</w:t>
      </w:r>
      <w:r w:rsidRPr="00327DC3">
        <w:rPr>
          <w:b/>
          <w:u w:val="single"/>
          <w:lang w:val="en-GB"/>
        </w:rPr>
        <w:t>:</w:t>
      </w:r>
      <w:r w:rsidR="009D4AC0">
        <w:rPr>
          <w:lang w:val="en-GB"/>
        </w:rPr>
        <w:t xml:space="preserve"> If LTE is configured with more carriers in CA/DC than intended by the UE category soft buffer size, then allow the LTE to borrow from the NR soft buffer which is not in use.</w:t>
      </w:r>
    </w:p>
    <w:p w14:paraId="6F22F05E" w14:textId="3A91FAF1" w:rsidR="00D23A88" w:rsidRDefault="00D23A88" w:rsidP="00D23A88">
      <w:pPr>
        <w:pStyle w:val="Heading2"/>
      </w:pPr>
      <w:r>
        <w:t>Further discussion</w:t>
      </w:r>
    </w:p>
    <w:p w14:paraId="0D54C366" w14:textId="01328065" w:rsidR="00D23A88" w:rsidRDefault="00A50CBD" w:rsidP="00A50CBD">
      <w:pPr>
        <w:rPr>
          <w:lang w:val="en-GB"/>
        </w:rPr>
      </w:pPr>
      <w:r w:rsidRPr="00A50CBD">
        <w:rPr>
          <w:lang w:val="en-GB"/>
        </w:rPr>
        <w:t>Note in NR, soft buffer partitioning among CCs is preferable to take into account</w:t>
      </w:r>
      <w:r>
        <w:rPr>
          <w:lang w:val="en-GB"/>
        </w:rPr>
        <w:t xml:space="preserve"> bandwidth difference among CCs, and provide robust operation given the</w:t>
      </w:r>
      <w:r w:rsidRPr="00A50CBD">
        <w:rPr>
          <w:lang w:val="en-GB"/>
        </w:rPr>
        <w:t xml:space="preserve"> HARQ timing difference/TTI difference</w:t>
      </w:r>
      <w:r>
        <w:rPr>
          <w:lang w:val="en-GB"/>
        </w:rPr>
        <w:t xml:space="preserve">s which may arise from mixed numerologies. </w:t>
      </w:r>
      <w:r w:rsidR="00E47F0F">
        <w:rPr>
          <w:lang w:val="en-GB"/>
        </w:rPr>
        <w:t>Although it may be possible to consider more dynamic partitioning of memory based on activation/deactivation, these changes may require further study since, for example, BWP switching could occur as quickly as between adjacent slots. There may not be enough time in such cases to flush buffers appropriately and re-allocate for dual-connectivity re-use.</w:t>
      </w:r>
    </w:p>
    <w:p w14:paraId="097455A5" w14:textId="48695284" w:rsidR="005E6446" w:rsidRDefault="005E6446" w:rsidP="005E6446">
      <w:pPr>
        <w:pStyle w:val="Heading1"/>
      </w:pPr>
      <w:r>
        <w:t>Conclusion</w:t>
      </w:r>
    </w:p>
    <w:p w14:paraId="4FADE5D5" w14:textId="6BA34769" w:rsidR="00F252E3" w:rsidRPr="00F252E3" w:rsidRDefault="00F252E3" w:rsidP="00E50972">
      <w:pPr>
        <w:rPr>
          <w:lang w:val="en-GB"/>
        </w:rPr>
      </w:pPr>
      <w:r w:rsidRPr="00F52954">
        <w:rPr>
          <w:b/>
          <w:u w:val="single"/>
          <w:lang w:val="en-GB"/>
        </w:rPr>
        <w:t>Proposal</w:t>
      </w:r>
      <w:r>
        <w:rPr>
          <w:b/>
          <w:u w:val="single"/>
          <w:lang w:val="en-GB"/>
        </w:rPr>
        <w:t xml:space="preserve"> 1</w:t>
      </w:r>
      <w:r w:rsidRPr="00F52954">
        <w:rPr>
          <w:b/>
          <w:u w:val="single"/>
          <w:lang w:val="en-GB"/>
        </w:rPr>
        <w:t>:</w:t>
      </w:r>
      <w:r>
        <w:rPr>
          <w:lang w:val="en-GB"/>
        </w:rPr>
        <w:t xml:space="preserve"> Each UE may report a combination of LTE capability (category) and NR capability (category), while the soft buffer originally associated with NR can be semi-statistically borrowed by LTE, or vice versa with certain restrictions.</w:t>
      </w:r>
      <w:bookmarkStart w:id="1" w:name="_GoBack"/>
      <w:bookmarkEnd w:id="1"/>
    </w:p>
    <w:p w14:paraId="0C1A6665" w14:textId="061ADD71" w:rsidR="00E50972" w:rsidRPr="00F252E3" w:rsidRDefault="00F252E3" w:rsidP="00E50972">
      <w:pPr>
        <w:rPr>
          <w:lang w:val="en-GB"/>
        </w:rPr>
      </w:pPr>
      <w:r w:rsidRPr="00327DC3">
        <w:rPr>
          <w:b/>
          <w:u w:val="single"/>
          <w:lang w:val="en-GB"/>
        </w:rPr>
        <w:t>Proposal 2:</w:t>
      </w:r>
      <w:r>
        <w:rPr>
          <w:lang w:val="en-GB"/>
        </w:rPr>
        <w:t xml:space="preserve"> </w:t>
      </w:r>
      <w:r w:rsidRPr="00267A0A">
        <w:rPr>
          <w:lang w:val="en-GB"/>
        </w:rPr>
        <w:t>The normal allocation</w:t>
      </w:r>
      <w:r>
        <w:rPr>
          <w:lang w:val="en-GB"/>
        </w:rPr>
        <w:t xml:space="preserve"> for LTE soft buffer</w:t>
      </w:r>
      <w:r w:rsidRPr="00267A0A">
        <w:rPr>
          <w:lang w:val="en-GB"/>
        </w:rPr>
        <w:t xml:space="preserve"> may be determined based on the actual # of layers, or the actual # of CCs</w:t>
      </w:r>
      <w:r>
        <w:rPr>
          <w:lang w:val="en-GB"/>
        </w:rPr>
        <w:t>,</w:t>
      </w:r>
      <w:r w:rsidRPr="00267A0A">
        <w:rPr>
          <w:lang w:val="en-GB"/>
        </w:rPr>
        <w:t xml:space="preserve"> compared with the per-layer or per-CC allocation if the UE is configured with the intended # of layers or CCs</w:t>
      </w:r>
      <w:r>
        <w:rPr>
          <w:lang w:val="en-GB"/>
        </w:rPr>
        <w:t>. The remaining soft buffer can then be provided to NR, provided there are no implementation restrictions on the memory architecture.</w:t>
      </w:r>
    </w:p>
    <w:p w14:paraId="552236C5" w14:textId="74C386E1" w:rsidR="00E50972" w:rsidRDefault="00E50972" w:rsidP="00E50972">
      <w:pPr>
        <w:rPr>
          <w:lang w:val="en-GB"/>
        </w:rPr>
      </w:pPr>
      <w:r w:rsidRPr="00327DC3">
        <w:rPr>
          <w:b/>
          <w:u w:val="single"/>
          <w:lang w:val="en-GB"/>
        </w:rPr>
        <w:lastRenderedPageBreak/>
        <w:t xml:space="preserve">Proposal </w:t>
      </w:r>
      <w:r>
        <w:rPr>
          <w:b/>
          <w:u w:val="single"/>
          <w:lang w:val="en-GB"/>
        </w:rPr>
        <w:t>3</w:t>
      </w:r>
      <w:r w:rsidRPr="00327DC3">
        <w:rPr>
          <w:b/>
          <w:u w:val="single"/>
          <w:lang w:val="en-GB"/>
        </w:rPr>
        <w:t>:</w:t>
      </w:r>
      <w:r>
        <w:rPr>
          <w:lang w:val="en-GB"/>
        </w:rPr>
        <w:t xml:space="preserve"> If LTE is configured with more carriers in CA/DC than intended by the UE category soft buffer size, then allow the LTE to borrow from the NR soft buffer which is not in use.</w:t>
      </w:r>
    </w:p>
    <w:p w14:paraId="0B8F5F6F" w14:textId="77777777" w:rsidR="005E6446" w:rsidRPr="005E6446" w:rsidRDefault="005E6446" w:rsidP="005E6446">
      <w:pPr>
        <w:rPr>
          <w:lang w:val="en-GB"/>
        </w:rPr>
      </w:pPr>
    </w:p>
    <w:bookmarkEnd w:id="0"/>
    <w:p w14:paraId="5BE0AC98" w14:textId="52B016BF"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0711FB81" w14:textId="39F4D0BF" w:rsidR="00B44313" w:rsidRDefault="00862F15" w:rsidP="0008793D">
      <w:pPr>
        <w:numPr>
          <w:ilvl w:val="0"/>
          <w:numId w:val="2"/>
        </w:numPr>
        <w:spacing w:before="100" w:beforeAutospacing="1" w:after="100" w:afterAutospacing="1"/>
        <w:ind w:left="562" w:hanging="562"/>
      </w:pPr>
      <w:bookmarkStart w:id="2" w:name="_Ref485386823"/>
      <w:r w:rsidRPr="006164DD">
        <w:t>RAN1 #8</w:t>
      </w:r>
      <w:r w:rsidR="0008793D">
        <w:t>8</w:t>
      </w:r>
      <w:r w:rsidRPr="006164DD">
        <w:t>bis Chairman Notes</w:t>
      </w:r>
      <w:bookmarkEnd w:id="2"/>
    </w:p>
    <w:p w14:paraId="7FF8F331" w14:textId="116EC2DE" w:rsidR="00B62C8F" w:rsidRDefault="00B62C8F" w:rsidP="00B62C8F">
      <w:pPr>
        <w:numPr>
          <w:ilvl w:val="0"/>
          <w:numId w:val="2"/>
        </w:numPr>
        <w:spacing w:before="100" w:beforeAutospacing="1" w:after="100" w:afterAutospacing="1"/>
      </w:pPr>
      <w:bookmarkStart w:id="3" w:name="_Ref490241144"/>
      <w:r w:rsidRPr="00B62C8F">
        <w:t>R1-1713450</w:t>
      </w:r>
      <w:r>
        <w:t>, “</w:t>
      </w:r>
      <w:r w:rsidRPr="00B62C8F">
        <w:t>Considerations for soft buffer management</w:t>
      </w:r>
      <w:r>
        <w:t>”, R</w:t>
      </w:r>
      <w:r w:rsidR="00A20512">
        <w:t>AN1 #90, Prague, Czech Republic</w:t>
      </w:r>
      <w:bookmarkEnd w:id="3"/>
    </w:p>
    <w:sectPr w:rsidR="00B62C8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F224" w14:textId="77777777" w:rsidR="00B44246" w:rsidRDefault="00B44246">
      <w:r>
        <w:separator/>
      </w:r>
    </w:p>
  </w:endnote>
  <w:endnote w:type="continuationSeparator" w:id="0">
    <w:p w14:paraId="77899774" w14:textId="77777777" w:rsidR="00B44246" w:rsidRDefault="00B44246">
      <w:r>
        <w:continuationSeparator/>
      </w:r>
    </w:p>
  </w:endnote>
  <w:endnote w:type="continuationNotice" w:id="1">
    <w:p w14:paraId="100CCC7A" w14:textId="77777777" w:rsidR="00B44246" w:rsidRDefault="00B44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F3DC48F"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52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2E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B796" w14:textId="77777777" w:rsidR="00B44246" w:rsidRDefault="00B44246">
      <w:r>
        <w:separator/>
      </w:r>
    </w:p>
  </w:footnote>
  <w:footnote w:type="continuationSeparator" w:id="0">
    <w:p w14:paraId="50E08685" w14:textId="77777777" w:rsidR="00B44246" w:rsidRDefault="00B44246">
      <w:r>
        <w:continuationSeparator/>
      </w:r>
    </w:p>
  </w:footnote>
  <w:footnote w:type="continuationNotice" w:id="1">
    <w:p w14:paraId="13F92AA4" w14:textId="77777777" w:rsidR="00B44246" w:rsidRDefault="00B44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C11D75"/>
    <w:multiLevelType w:val="hybridMultilevel"/>
    <w:tmpl w:val="8286B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43413"/>
    <w:multiLevelType w:val="hybridMultilevel"/>
    <w:tmpl w:val="D4AC8BCC"/>
    <w:lvl w:ilvl="0" w:tplc="A30ECC16">
      <w:start w:val="1"/>
      <w:numFmt w:val="bullet"/>
      <w:lvlText w:val=""/>
      <w:lvlJc w:val="left"/>
      <w:pPr>
        <w:tabs>
          <w:tab w:val="num" w:pos="720"/>
        </w:tabs>
        <w:ind w:left="720" w:hanging="360"/>
      </w:pPr>
      <w:rPr>
        <w:rFonts w:ascii="Symbol" w:hAnsi="Symbol" w:hint="default"/>
      </w:rPr>
    </w:lvl>
    <w:lvl w:ilvl="1" w:tplc="FD2C3348" w:tentative="1">
      <w:start w:val="1"/>
      <w:numFmt w:val="bullet"/>
      <w:lvlText w:val=""/>
      <w:lvlJc w:val="left"/>
      <w:pPr>
        <w:tabs>
          <w:tab w:val="num" w:pos="1440"/>
        </w:tabs>
        <w:ind w:left="1440" w:hanging="360"/>
      </w:pPr>
      <w:rPr>
        <w:rFonts w:ascii="Symbol" w:hAnsi="Symbol" w:hint="default"/>
      </w:rPr>
    </w:lvl>
    <w:lvl w:ilvl="2" w:tplc="970E9C18" w:tentative="1">
      <w:start w:val="1"/>
      <w:numFmt w:val="bullet"/>
      <w:lvlText w:val=""/>
      <w:lvlJc w:val="left"/>
      <w:pPr>
        <w:tabs>
          <w:tab w:val="num" w:pos="2160"/>
        </w:tabs>
        <w:ind w:left="2160" w:hanging="360"/>
      </w:pPr>
      <w:rPr>
        <w:rFonts w:ascii="Symbol" w:hAnsi="Symbol" w:hint="default"/>
      </w:rPr>
    </w:lvl>
    <w:lvl w:ilvl="3" w:tplc="F4A26C96" w:tentative="1">
      <w:start w:val="1"/>
      <w:numFmt w:val="bullet"/>
      <w:lvlText w:val=""/>
      <w:lvlJc w:val="left"/>
      <w:pPr>
        <w:tabs>
          <w:tab w:val="num" w:pos="2880"/>
        </w:tabs>
        <w:ind w:left="2880" w:hanging="360"/>
      </w:pPr>
      <w:rPr>
        <w:rFonts w:ascii="Symbol" w:hAnsi="Symbol" w:hint="default"/>
      </w:rPr>
    </w:lvl>
    <w:lvl w:ilvl="4" w:tplc="0E8A1620" w:tentative="1">
      <w:start w:val="1"/>
      <w:numFmt w:val="bullet"/>
      <w:lvlText w:val=""/>
      <w:lvlJc w:val="left"/>
      <w:pPr>
        <w:tabs>
          <w:tab w:val="num" w:pos="3600"/>
        </w:tabs>
        <w:ind w:left="3600" w:hanging="360"/>
      </w:pPr>
      <w:rPr>
        <w:rFonts w:ascii="Symbol" w:hAnsi="Symbol" w:hint="default"/>
      </w:rPr>
    </w:lvl>
    <w:lvl w:ilvl="5" w:tplc="28D4AA3C" w:tentative="1">
      <w:start w:val="1"/>
      <w:numFmt w:val="bullet"/>
      <w:lvlText w:val=""/>
      <w:lvlJc w:val="left"/>
      <w:pPr>
        <w:tabs>
          <w:tab w:val="num" w:pos="4320"/>
        </w:tabs>
        <w:ind w:left="4320" w:hanging="360"/>
      </w:pPr>
      <w:rPr>
        <w:rFonts w:ascii="Symbol" w:hAnsi="Symbol" w:hint="default"/>
      </w:rPr>
    </w:lvl>
    <w:lvl w:ilvl="6" w:tplc="44422792" w:tentative="1">
      <w:start w:val="1"/>
      <w:numFmt w:val="bullet"/>
      <w:lvlText w:val=""/>
      <w:lvlJc w:val="left"/>
      <w:pPr>
        <w:tabs>
          <w:tab w:val="num" w:pos="5040"/>
        </w:tabs>
        <w:ind w:left="5040" w:hanging="360"/>
      </w:pPr>
      <w:rPr>
        <w:rFonts w:ascii="Symbol" w:hAnsi="Symbol" w:hint="default"/>
      </w:rPr>
    </w:lvl>
    <w:lvl w:ilvl="7" w:tplc="5E44CC62" w:tentative="1">
      <w:start w:val="1"/>
      <w:numFmt w:val="bullet"/>
      <w:lvlText w:val=""/>
      <w:lvlJc w:val="left"/>
      <w:pPr>
        <w:tabs>
          <w:tab w:val="num" w:pos="5760"/>
        </w:tabs>
        <w:ind w:left="5760" w:hanging="360"/>
      </w:pPr>
      <w:rPr>
        <w:rFonts w:ascii="Symbol" w:hAnsi="Symbol" w:hint="default"/>
      </w:rPr>
    </w:lvl>
    <w:lvl w:ilvl="8" w:tplc="42DEB7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B85F3D"/>
    <w:multiLevelType w:val="hybridMultilevel"/>
    <w:tmpl w:val="07E8C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F797E"/>
    <w:multiLevelType w:val="hybridMultilevel"/>
    <w:tmpl w:val="5A34EDE0"/>
    <w:lvl w:ilvl="0" w:tplc="31C47238">
      <w:start w:val="1"/>
      <w:numFmt w:val="bullet"/>
      <w:lvlText w:val=""/>
      <w:lvlJc w:val="left"/>
      <w:pPr>
        <w:tabs>
          <w:tab w:val="num" w:pos="648"/>
        </w:tabs>
        <w:ind w:left="648" w:hanging="360"/>
      </w:pPr>
      <w:rPr>
        <w:rFonts w:ascii="Symbol" w:hAnsi="Symbol" w:hint="default"/>
      </w:rPr>
    </w:lvl>
    <w:lvl w:ilvl="1" w:tplc="5C8E2564" w:tentative="1">
      <w:start w:val="1"/>
      <w:numFmt w:val="bullet"/>
      <w:lvlText w:val=""/>
      <w:lvlJc w:val="left"/>
      <w:pPr>
        <w:tabs>
          <w:tab w:val="num" w:pos="1368"/>
        </w:tabs>
        <w:ind w:left="1368" w:hanging="360"/>
      </w:pPr>
      <w:rPr>
        <w:rFonts w:ascii="Symbol" w:hAnsi="Symbol" w:hint="default"/>
      </w:rPr>
    </w:lvl>
    <w:lvl w:ilvl="2" w:tplc="F950119E" w:tentative="1">
      <w:start w:val="1"/>
      <w:numFmt w:val="bullet"/>
      <w:lvlText w:val=""/>
      <w:lvlJc w:val="left"/>
      <w:pPr>
        <w:tabs>
          <w:tab w:val="num" w:pos="2088"/>
        </w:tabs>
        <w:ind w:left="2088" w:hanging="360"/>
      </w:pPr>
      <w:rPr>
        <w:rFonts w:ascii="Symbol" w:hAnsi="Symbol" w:hint="default"/>
      </w:rPr>
    </w:lvl>
    <w:lvl w:ilvl="3" w:tplc="49F8FEEE" w:tentative="1">
      <w:start w:val="1"/>
      <w:numFmt w:val="bullet"/>
      <w:lvlText w:val=""/>
      <w:lvlJc w:val="left"/>
      <w:pPr>
        <w:tabs>
          <w:tab w:val="num" w:pos="2808"/>
        </w:tabs>
        <w:ind w:left="2808" w:hanging="360"/>
      </w:pPr>
      <w:rPr>
        <w:rFonts w:ascii="Symbol" w:hAnsi="Symbol" w:hint="default"/>
      </w:rPr>
    </w:lvl>
    <w:lvl w:ilvl="4" w:tplc="A240F61E" w:tentative="1">
      <w:start w:val="1"/>
      <w:numFmt w:val="bullet"/>
      <w:lvlText w:val=""/>
      <w:lvlJc w:val="left"/>
      <w:pPr>
        <w:tabs>
          <w:tab w:val="num" w:pos="3528"/>
        </w:tabs>
        <w:ind w:left="3528" w:hanging="360"/>
      </w:pPr>
      <w:rPr>
        <w:rFonts w:ascii="Symbol" w:hAnsi="Symbol" w:hint="default"/>
      </w:rPr>
    </w:lvl>
    <w:lvl w:ilvl="5" w:tplc="904C6156" w:tentative="1">
      <w:start w:val="1"/>
      <w:numFmt w:val="bullet"/>
      <w:lvlText w:val=""/>
      <w:lvlJc w:val="left"/>
      <w:pPr>
        <w:tabs>
          <w:tab w:val="num" w:pos="4248"/>
        </w:tabs>
        <w:ind w:left="4248" w:hanging="360"/>
      </w:pPr>
      <w:rPr>
        <w:rFonts w:ascii="Symbol" w:hAnsi="Symbol" w:hint="default"/>
      </w:rPr>
    </w:lvl>
    <w:lvl w:ilvl="6" w:tplc="B8D66940" w:tentative="1">
      <w:start w:val="1"/>
      <w:numFmt w:val="bullet"/>
      <w:lvlText w:val=""/>
      <w:lvlJc w:val="left"/>
      <w:pPr>
        <w:tabs>
          <w:tab w:val="num" w:pos="4968"/>
        </w:tabs>
        <w:ind w:left="4968" w:hanging="360"/>
      </w:pPr>
      <w:rPr>
        <w:rFonts w:ascii="Symbol" w:hAnsi="Symbol" w:hint="default"/>
      </w:rPr>
    </w:lvl>
    <w:lvl w:ilvl="7" w:tplc="3C46928C" w:tentative="1">
      <w:start w:val="1"/>
      <w:numFmt w:val="bullet"/>
      <w:lvlText w:val=""/>
      <w:lvlJc w:val="left"/>
      <w:pPr>
        <w:tabs>
          <w:tab w:val="num" w:pos="5688"/>
        </w:tabs>
        <w:ind w:left="5688" w:hanging="360"/>
      </w:pPr>
      <w:rPr>
        <w:rFonts w:ascii="Symbol" w:hAnsi="Symbol" w:hint="default"/>
      </w:rPr>
    </w:lvl>
    <w:lvl w:ilvl="8" w:tplc="966E7B70" w:tentative="1">
      <w:start w:val="1"/>
      <w:numFmt w:val="bullet"/>
      <w:lvlText w:val=""/>
      <w:lvlJc w:val="left"/>
      <w:pPr>
        <w:tabs>
          <w:tab w:val="num" w:pos="6408"/>
        </w:tabs>
        <w:ind w:left="6408" w:hanging="360"/>
      </w:pPr>
      <w:rPr>
        <w:rFonts w:ascii="Symbol" w:hAnsi="Symbol" w:hint="default"/>
      </w:rPr>
    </w:lvl>
  </w:abstractNum>
  <w:abstractNum w:abstractNumId="9" w15:restartNumberingAfterBreak="0">
    <w:nsid w:val="7BB46A72"/>
    <w:multiLevelType w:val="hybridMultilevel"/>
    <w:tmpl w:val="ABA44F02"/>
    <w:lvl w:ilvl="0" w:tplc="754A2BDA">
      <w:start w:val="1"/>
      <w:numFmt w:val="bullet"/>
      <w:lvlText w:val=""/>
      <w:lvlJc w:val="left"/>
      <w:pPr>
        <w:tabs>
          <w:tab w:val="num" w:pos="720"/>
        </w:tabs>
        <w:ind w:left="720" w:hanging="360"/>
      </w:pPr>
      <w:rPr>
        <w:rFonts w:ascii="Symbol" w:hAnsi="Symbol" w:hint="default"/>
      </w:rPr>
    </w:lvl>
    <w:lvl w:ilvl="1" w:tplc="A5FC2880">
      <w:numFmt w:val="bullet"/>
      <w:lvlText w:val="−"/>
      <w:lvlJc w:val="left"/>
      <w:pPr>
        <w:tabs>
          <w:tab w:val="num" w:pos="1440"/>
        </w:tabs>
        <w:ind w:left="1440" w:hanging="360"/>
      </w:pPr>
      <w:rPr>
        <w:rFonts w:ascii="Calibre Regular" w:hAnsi="Calibre Regular" w:hint="default"/>
      </w:rPr>
    </w:lvl>
    <w:lvl w:ilvl="2" w:tplc="3ADA2E92" w:tentative="1">
      <w:start w:val="1"/>
      <w:numFmt w:val="bullet"/>
      <w:lvlText w:val=""/>
      <w:lvlJc w:val="left"/>
      <w:pPr>
        <w:tabs>
          <w:tab w:val="num" w:pos="2160"/>
        </w:tabs>
        <w:ind w:left="2160" w:hanging="360"/>
      </w:pPr>
      <w:rPr>
        <w:rFonts w:ascii="Symbol" w:hAnsi="Symbol" w:hint="default"/>
      </w:rPr>
    </w:lvl>
    <w:lvl w:ilvl="3" w:tplc="F0741A18" w:tentative="1">
      <w:start w:val="1"/>
      <w:numFmt w:val="bullet"/>
      <w:lvlText w:val=""/>
      <w:lvlJc w:val="left"/>
      <w:pPr>
        <w:tabs>
          <w:tab w:val="num" w:pos="2880"/>
        </w:tabs>
        <w:ind w:left="2880" w:hanging="360"/>
      </w:pPr>
      <w:rPr>
        <w:rFonts w:ascii="Symbol" w:hAnsi="Symbol" w:hint="default"/>
      </w:rPr>
    </w:lvl>
    <w:lvl w:ilvl="4" w:tplc="7C183334" w:tentative="1">
      <w:start w:val="1"/>
      <w:numFmt w:val="bullet"/>
      <w:lvlText w:val=""/>
      <w:lvlJc w:val="left"/>
      <w:pPr>
        <w:tabs>
          <w:tab w:val="num" w:pos="3600"/>
        </w:tabs>
        <w:ind w:left="3600" w:hanging="360"/>
      </w:pPr>
      <w:rPr>
        <w:rFonts w:ascii="Symbol" w:hAnsi="Symbol" w:hint="default"/>
      </w:rPr>
    </w:lvl>
    <w:lvl w:ilvl="5" w:tplc="AE349286" w:tentative="1">
      <w:start w:val="1"/>
      <w:numFmt w:val="bullet"/>
      <w:lvlText w:val=""/>
      <w:lvlJc w:val="left"/>
      <w:pPr>
        <w:tabs>
          <w:tab w:val="num" w:pos="4320"/>
        </w:tabs>
        <w:ind w:left="4320" w:hanging="360"/>
      </w:pPr>
      <w:rPr>
        <w:rFonts w:ascii="Symbol" w:hAnsi="Symbol" w:hint="default"/>
      </w:rPr>
    </w:lvl>
    <w:lvl w:ilvl="6" w:tplc="C4D4B200" w:tentative="1">
      <w:start w:val="1"/>
      <w:numFmt w:val="bullet"/>
      <w:lvlText w:val=""/>
      <w:lvlJc w:val="left"/>
      <w:pPr>
        <w:tabs>
          <w:tab w:val="num" w:pos="5040"/>
        </w:tabs>
        <w:ind w:left="5040" w:hanging="360"/>
      </w:pPr>
      <w:rPr>
        <w:rFonts w:ascii="Symbol" w:hAnsi="Symbol" w:hint="default"/>
      </w:rPr>
    </w:lvl>
    <w:lvl w:ilvl="7" w:tplc="288013B4" w:tentative="1">
      <w:start w:val="1"/>
      <w:numFmt w:val="bullet"/>
      <w:lvlText w:val=""/>
      <w:lvlJc w:val="left"/>
      <w:pPr>
        <w:tabs>
          <w:tab w:val="num" w:pos="5760"/>
        </w:tabs>
        <w:ind w:left="5760" w:hanging="360"/>
      </w:pPr>
      <w:rPr>
        <w:rFonts w:ascii="Symbol" w:hAnsi="Symbol" w:hint="default"/>
      </w:rPr>
    </w:lvl>
    <w:lvl w:ilvl="8" w:tplc="24A8A24A"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0"/>
  </w:num>
  <w:num w:numId="3">
    <w:abstractNumId w:val="1"/>
  </w:num>
  <w:num w:numId="4">
    <w:abstractNumId w:val="6"/>
  </w:num>
  <w:num w:numId="5">
    <w:abstractNumId w:val="5"/>
  </w:num>
  <w:num w:numId="6">
    <w:abstractNumId w:val="7"/>
  </w:num>
  <w:num w:numId="7">
    <w:abstractNumId w:val="8"/>
  </w:num>
  <w:num w:numId="8">
    <w:abstractNumId w:val="4"/>
  </w:num>
  <w:num w:numId="9">
    <w:abstractNumId w:val="9"/>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93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6A5C"/>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41"/>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67A0A"/>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056"/>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DC3"/>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4F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95D"/>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190B"/>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6A37"/>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A3"/>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2F"/>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446"/>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A7D7F"/>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0C"/>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39C"/>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364"/>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2C7"/>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3E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07E6D"/>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1F43"/>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62A"/>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AC0"/>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1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99D"/>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B4B"/>
    <w:rsid w:val="00A500D8"/>
    <w:rsid w:val="00A5044D"/>
    <w:rsid w:val="00A50B00"/>
    <w:rsid w:val="00A50CBD"/>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13"/>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13"/>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694"/>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2C8F"/>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5D8"/>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AED"/>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391"/>
    <w:rsid w:val="00CD04B6"/>
    <w:rsid w:val="00CD0740"/>
    <w:rsid w:val="00CD0768"/>
    <w:rsid w:val="00CD0B87"/>
    <w:rsid w:val="00CD13A3"/>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A88"/>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804"/>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2AE9"/>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0F"/>
    <w:rsid w:val="00E47F73"/>
    <w:rsid w:val="00E508D6"/>
    <w:rsid w:val="00E50972"/>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2E3"/>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954"/>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18"/>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945980">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2744048">
      <w:bodyDiv w:val="1"/>
      <w:marLeft w:val="0"/>
      <w:marRight w:val="0"/>
      <w:marTop w:val="0"/>
      <w:marBottom w:val="0"/>
      <w:divBdr>
        <w:top w:val="none" w:sz="0" w:space="0" w:color="auto"/>
        <w:left w:val="none" w:sz="0" w:space="0" w:color="auto"/>
        <w:bottom w:val="none" w:sz="0" w:space="0" w:color="auto"/>
        <w:right w:val="none" w:sz="0" w:space="0" w:color="auto"/>
      </w:divBdr>
      <w:divsChild>
        <w:div w:id="1452478406">
          <w:marLeft w:val="547"/>
          <w:marRight w:val="0"/>
          <w:marTop w:val="115"/>
          <w:marBottom w:val="0"/>
          <w:divBdr>
            <w:top w:val="none" w:sz="0" w:space="0" w:color="auto"/>
            <w:left w:val="none" w:sz="0" w:space="0" w:color="auto"/>
            <w:bottom w:val="none" w:sz="0" w:space="0" w:color="auto"/>
            <w:right w:val="none" w:sz="0" w:space="0" w:color="auto"/>
          </w:divBdr>
        </w:div>
        <w:div w:id="371535164">
          <w:marLeft w:val="547"/>
          <w:marRight w:val="0"/>
          <w:marTop w:val="115"/>
          <w:marBottom w:val="0"/>
          <w:divBdr>
            <w:top w:val="none" w:sz="0" w:space="0" w:color="auto"/>
            <w:left w:val="none" w:sz="0" w:space="0" w:color="auto"/>
            <w:bottom w:val="none" w:sz="0" w:space="0" w:color="auto"/>
            <w:right w:val="none" w:sz="0" w:space="0" w:color="auto"/>
          </w:divBdr>
        </w:div>
        <w:div w:id="253709390">
          <w:marLeft w:val="547"/>
          <w:marRight w:val="0"/>
          <w:marTop w:val="115"/>
          <w:marBottom w:val="0"/>
          <w:divBdr>
            <w:top w:val="none" w:sz="0" w:space="0" w:color="auto"/>
            <w:left w:val="none" w:sz="0" w:space="0" w:color="auto"/>
            <w:bottom w:val="none" w:sz="0" w:space="0" w:color="auto"/>
            <w:right w:val="none" w:sz="0" w:space="0" w:color="auto"/>
          </w:divBdr>
        </w:div>
        <w:div w:id="479662607">
          <w:marLeft w:val="1166"/>
          <w:marRight w:val="0"/>
          <w:marTop w:val="96"/>
          <w:marBottom w:val="0"/>
          <w:divBdr>
            <w:top w:val="none" w:sz="0" w:space="0" w:color="auto"/>
            <w:left w:val="none" w:sz="0" w:space="0" w:color="auto"/>
            <w:bottom w:val="none" w:sz="0" w:space="0" w:color="auto"/>
            <w:right w:val="none" w:sz="0" w:space="0" w:color="auto"/>
          </w:divBdr>
        </w:div>
        <w:div w:id="1587180">
          <w:marLeft w:val="1166"/>
          <w:marRight w:val="0"/>
          <w:marTop w:val="96"/>
          <w:marBottom w:val="0"/>
          <w:divBdr>
            <w:top w:val="none" w:sz="0" w:space="0" w:color="auto"/>
            <w:left w:val="none" w:sz="0" w:space="0" w:color="auto"/>
            <w:bottom w:val="none" w:sz="0" w:space="0" w:color="auto"/>
            <w:right w:val="none" w:sz="0" w:space="0" w:color="auto"/>
          </w:divBdr>
        </w:div>
        <w:div w:id="817723650">
          <w:marLeft w:val="1166"/>
          <w:marRight w:val="0"/>
          <w:marTop w:val="96"/>
          <w:marBottom w:val="0"/>
          <w:divBdr>
            <w:top w:val="none" w:sz="0" w:space="0" w:color="auto"/>
            <w:left w:val="none" w:sz="0" w:space="0" w:color="auto"/>
            <w:bottom w:val="none" w:sz="0" w:space="0" w:color="auto"/>
            <w:right w:val="none" w:sz="0" w:space="0" w:color="auto"/>
          </w:divBdr>
        </w:div>
        <w:div w:id="928122495">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506945">
      <w:bodyDiv w:val="1"/>
      <w:marLeft w:val="0"/>
      <w:marRight w:val="0"/>
      <w:marTop w:val="0"/>
      <w:marBottom w:val="0"/>
      <w:divBdr>
        <w:top w:val="none" w:sz="0" w:space="0" w:color="auto"/>
        <w:left w:val="none" w:sz="0" w:space="0" w:color="auto"/>
        <w:bottom w:val="none" w:sz="0" w:space="0" w:color="auto"/>
        <w:right w:val="none" w:sz="0" w:space="0" w:color="auto"/>
      </w:divBdr>
      <w:divsChild>
        <w:div w:id="1240016134">
          <w:marLeft w:val="547"/>
          <w:marRight w:val="0"/>
          <w:marTop w:val="115"/>
          <w:marBottom w:val="0"/>
          <w:divBdr>
            <w:top w:val="none" w:sz="0" w:space="0" w:color="auto"/>
            <w:left w:val="none" w:sz="0" w:space="0" w:color="auto"/>
            <w:bottom w:val="none" w:sz="0" w:space="0" w:color="auto"/>
            <w:right w:val="none" w:sz="0" w:space="0" w:color="auto"/>
          </w:divBdr>
        </w:div>
        <w:div w:id="1984849470">
          <w:marLeft w:val="547"/>
          <w:marRight w:val="0"/>
          <w:marTop w:val="115"/>
          <w:marBottom w:val="0"/>
          <w:divBdr>
            <w:top w:val="none" w:sz="0" w:space="0" w:color="auto"/>
            <w:left w:val="none" w:sz="0" w:space="0" w:color="auto"/>
            <w:bottom w:val="none" w:sz="0" w:space="0" w:color="auto"/>
            <w:right w:val="none" w:sz="0" w:space="0" w:color="auto"/>
          </w:divBdr>
        </w:div>
        <w:div w:id="444009016">
          <w:marLeft w:val="547"/>
          <w:marRight w:val="0"/>
          <w:marTop w:val="115"/>
          <w:marBottom w:val="0"/>
          <w:divBdr>
            <w:top w:val="none" w:sz="0" w:space="0" w:color="auto"/>
            <w:left w:val="none" w:sz="0" w:space="0" w:color="auto"/>
            <w:bottom w:val="none" w:sz="0" w:space="0" w:color="auto"/>
            <w:right w:val="none" w:sz="0" w:space="0" w:color="auto"/>
          </w:divBdr>
        </w:div>
        <w:div w:id="488669146">
          <w:marLeft w:val="1166"/>
          <w:marRight w:val="0"/>
          <w:marTop w:val="96"/>
          <w:marBottom w:val="0"/>
          <w:divBdr>
            <w:top w:val="none" w:sz="0" w:space="0" w:color="auto"/>
            <w:left w:val="none" w:sz="0" w:space="0" w:color="auto"/>
            <w:bottom w:val="none" w:sz="0" w:space="0" w:color="auto"/>
            <w:right w:val="none" w:sz="0" w:space="0" w:color="auto"/>
          </w:divBdr>
        </w:div>
        <w:div w:id="595558155">
          <w:marLeft w:val="1166"/>
          <w:marRight w:val="0"/>
          <w:marTop w:val="96"/>
          <w:marBottom w:val="0"/>
          <w:divBdr>
            <w:top w:val="none" w:sz="0" w:space="0" w:color="auto"/>
            <w:left w:val="none" w:sz="0" w:space="0" w:color="auto"/>
            <w:bottom w:val="none" w:sz="0" w:space="0" w:color="auto"/>
            <w:right w:val="none" w:sz="0" w:space="0" w:color="auto"/>
          </w:divBdr>
        </w:div>
        <w:div w:id="2044017025">
          <w:marLeft w:val="1166"/>
          <w:marRight w:val="0"/>
          <w:marTop w:val="96"/>
          <w:marBottom w:val="0"/>
          <w:divBdr>
            <w:top w:val="none" w:sz="0" w:space="0" w:color="auto"/>
            <w:left w:val="none" w:sz="0" w:space="0" w:color="auto"/>
            <w:bottom w:val="none" w:sz="0" w:space="0" w:color="auto"/>
            <w:right w:val="none" w:sz="0" w:space="0" w:color="auto"/>
          </w:divBdr>
        </w:div>
        <w:div w:id="163518054">
          <w:marLeft w:val="1166"/>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784664">
      <w:bodyDiv w:val="1"/>
      <w:marLeft w:val="0"/>
      <w:marRight w:val="0"/>
      <w:marTop w:val="0"/>
      <w:marBottom w:val="0"/>
      <w:divBdr>
        <w:top w:val="none" w:sz="0" w:space="0" w:color="auto"/>
        <w:left w:val="none" w:sz="0" w:space="0" w:color="auto"/>
        <w:bottom w:val="none" w:sz="0" w:space="0" w:color="auto"/>
        <w:right w:val="none" w:sz="0" w:space="0" w:color="auto"/>
      </w:divBdr>
      <w:divsChild>
        <w:div w:id="167528540">
          <w:marLeft w:val="547"/>
          <w:marRight w:val="0"/>
          <w:marTop w:val="115"/>
          <w:marBottom w:val="0"/>
          <w:divBdr>
            <w:top w:val="none" w:sz="0" w:space="0" w:color="auto"/>
            <w:left w:val="none" w:sz="0" w:space="0" w:color="auto"/>
            <w:bottom w:val="none" w:sz="0" w:space="0" w:color="auto"/>
            <w:right w:val="none" w:sz="0" w:space="0" w:color="auto"/>
          </w:divBdr>
        </w:div>
        <w:div w:id="1568298395">
          <w:marLeft w:val="1166"/>
          <w:marRight w:val="0"/>
          <w:marTop w:val="96"/>
          <w:marBottom w:val="0"/>
          <w:divBdr>
            <w:top w:val="none" w:sz="0" w:space="0" w:color="auto"/>
            <w:left w:val="none" w:sz="0" w:space="0" w:color="auto"/>
            <w:bottom w:val="none" w:sz="0" w:space="0" w:color="auto"/>
            <w:right w:val="none" w:sz="0" w:space="0" w:color="auto"/>
          </w:divBdr>
        </w:div>
        <w:div w:id="902831380">
          <w:marLeft w:val="1166"/>
          <w:marRight w:val="0"/>
          <w:marTop w:val="96"/>
          <w:marBottom w:val="0"/>
          <w:divBdr>
            <w:top w:val="none" w:sz="0" w:space="0" w:color="auto"/>
            <w:left w:val="none" w:sz="0" w:space="0" w:color="auto"/>
            <w:bottom w:val="none" w:sz="0" w:space="0" w:color="auto"/>
            <w:right w:val="none" w:sz="0" w:space="0" w:color="auto"/>
          </w:divBdr>
        </w:div>
        <w:div w:id="60258477">
          <w:marLeft w:val="1627"/>
          <w:marRight w:val="0"/>
          <w:marTop w:val="86"/>
          <w:marBottom w:val="0"/>
          <w:divBdr>
            <w:top w:val="none" w:sz="0" w:space="0" w:color="auto"/>
            <w:left w:val="none" w:sz="0" w:space="0" w:color="auto"/>
            <w:bottom w:val="none" w:sz="0" w:space="0" w:color="auto"/>
            <w:right w:val="none" w:sz="0" w:space="0" w:color="auto"/>
          </w:divBdr>
        </w:div>
        <w:div w:id="2000187607">
          <w:marLeft w:val="547"/>
          <w:marRight w:val="0"/>
          <w:marTop w:val="115"/>
          <w:marBottom w:val="0"/>
          <w:divBdr>
            <w:top w:val="none" w:sz="0" w:space="0" w:color="auto"/>
            <w:left w:val="none" w:sz="0" w:space="0" w:color="auto"/>
            <w:bottom w:val="none" w:sz="0" w:space="0" w:color="auto"/>
            <w:right w:val="none" w:sz="0" w:space="0" w:color="auto"/>
          </w:divBdr>
        </w:div>
        <w:div w:id="412897057">
          <w:marLeft w:val="1166"/>
          <w:marRight w:val="0"/>
          <w:marTop w:val="96"/>
          <w:marBottom w:val="0"/>
          <w:divBdr>
            <w:top w:val="none" w:sz="0" w:space="0" w:color="auto"/>
            <w:left w:val="none" w:sz="0" w:space="0" w:color="auto"/>
            <w:bottom w:val="none" w:sz="0" w:space="0" w:color="auto"/>
            <w:right w:val="none" w:sz="0" w:space="0" w:color="auto"/>
          </w:divBdr>
        </w:div>
        <w:div w:id="1357928020">
          <w:marLeft w:val="1166"/>
          <w:marRight w:val="0"/>
          <w:marTop w:val="96"/>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HR33RHYHUWRF-4-5521</_dlc_DocId>
    <_dlc_DocIdUrl xmlns="c06861ca-3f08-4d07-bff7-bb15bac121f4">
      <Url>https://projects.qualcomm.com/sites/pentari/_layouts/15/DocIdRedir.aspx?ID=HR33RHYHUWRF-4-5521</Url>
      <Description>HR33RHYHUWRF-4-5521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0FC55A2-1CA8-462E-93B9-F8D1E2B8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2069</TotalTime>
  <Pages>3</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205</cp:revision>
  <cp:lastPrinted>2017-03-25T00:57:00Z</cp:lastPrinted>
  <dcterms:created xsi:type="dcterms:W3CDTF">2017-03-24T00:10:00Z</dcterms:created>
  <dcterms:modified xsi:type="dcterms:W3CDTF">2017-08-12T02:25:00Z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cb6fea10-59f2-4abd-8217-a139181e1369</vt:lpwstr>
  </property>
  <property fmtid="{D5CDD505-2E9C-101B-9397-08002B2CF9AE}" pid="9" name="ContentTypeId">
    <vt:lpwstr>0x010100BC29BFD66497B943AA3B102F0C7B1355</vt:lpwstr>
  </property>
  <property fmtid="{D5CDD505-2E9C-101B-9397-08002B2CF9AE}" pid="10" name="_ReviewingToolsShownOnce">
    <vt:lpwstr/>
  </property>
</Properties>
</file>